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B966" w14:textId="77777777" w:rsidR="00786446" w:rsidRDefault="009B755C" w:rsidP="00786446">
      <w:pPr>
        <w:pStyle w:val="Overskrift1"/>
        <w:rPr>
          <w:lang w:val="nb-NO"/>
        </w:rPr>
      </w:pPr>
      <w:r w:rsidRPr="009B755C">
        <w:rPr>
          <w:lang w:val="nb-NO"/>
        </w:rPr>
        <w:t xml:space="preserve">Varsomhet, taushetsplikt og habilitet </w:t>
      </w:r>
    </w:p>
    <w:p w14:paraId="4A017C86" w14:textId="0DB35C7F" w:rsidR="009B755C" w:rsidRPr="00D81679" w:rsidRDefault="009B755C" w:rsidP="00D81679">
      <w:pPr>
        <w:pStyle w:val="Overskrift2"/>
      </w:pPr>
      <w:r w:rsidRPr="00D81679">
        <w:t xml:space="preserve">Formål </w:t>
      </w:r>
    </w:p>
    <w:p w14:paraId="2DD74D6D" w14:textId="50140867" w:rsidR="00EB5D83" w:rsidRDefault="00EB5D83" w:rsidP="00EB5D83">
      <w:pPr>
        <w:pStyle w:val="Default"/>
        <w:rPr>
          <w:rFonts w:asciiTheme="minorHAnsi" w:hAnsiTheme="minorHAnsi"/>
          <w:szCs w:val="22"/>
        </w:rPr>
      </w:pPr>
      <w:r w:rsidRPr="00EB5D83">
        <w:rPr>
          <w:rFonts w:asciiTheme="minorHAnsi" w:hAnsiTheme="minorHAnsi"/>
          <w:szCs w:val="22"/>
        </w:rPr>
        <w:t>Forsvarsdepartementet og forsvarssektoren</w:t>
      </w:r>
      <w:r>
        <w:rPr>
          <w:rStyle w:val="Fotnotereferanse"/>
          <w:rFonts w:asciiTheme="minorHAnsi" w:hAnsiTheme="minorHAnsi"/>
          <w:szCs w:val="22"/>
        </w:rPr>
        <w:footnoteReference w:id="1"/>
      </w:r>
      <w:r w:rsidRPr="00EB5D83">
        <w:rPr>
          <w:rFonts w:asciiTheme="minorHAnsi" w:hAnsiTheme="minorHAnsi"/>
          <w:szCs w:val="22"/>
        </w:rPr>
        <w:t xml:space="preserve"> skal opptre i samsvar med god forretningsskikk og sikre en høy </w:t>
      </w:r>
      <w:proofErr w:type="spellStart"/>
      <w:r w:rsidRPr="00EB5D83">
        <w:rPr>
          <w:rFonts w:asciiTheme="minorHAnsi" w:hAnsiTheme="minorHAnsi"/>
          <w:szCs w:val="22"/>
        </w:rPr>
        <w:t>forretningsetisk</w:t>
      </w:r>
      <w:proofErr w:type="spellEnd"/>
      <w:r w:rsidRPr="00EB5D83">
        <w:rPr>
          <w:rFonts w:asciiTheme="minorHAnsi" w:hAnsiTheme="minorHAnsi"/>
          <w:szCs w:val="22"/>
        </w:rPr>
        <w:t xml:space="preserve"> standard i sin saksbehandling i alle faser i anskaffelsesprosessen.</w:t>
      </w:r>
    </w:p>
    <w:p w14:paraId="45096A37" w14:textId="77777777" w:rsidR="00EB5D83" w:rsidRPr="00EB5D83" w:rsidRDefault="00EB5D83" w:rsidP="00EB5D83">
      <w:pPr>
        <w:pStyle w:val="Default"/>
        <w:rPr>
          <w:rFonts w:asciiTheme="minorHAnsi" w:hAnsiTheme="minorHAnsi"/>
          <w:szCs w:val="22"/>
        </w:rPr>
      </w:pPr>
    </w:p>
    <w:p w14:paraId="0855CD86" w14:textId="37C221FE" w:rsidR="00EB5D83" w:rsidRPr="00EE32F4" w:rsidRDefault="00EB5D83" w:rsidP="00EB5D83">
      <w:pPr>
        <w:pStyle w:val="Default"/>
        <w:rPr>
          <w:rFonts w:asciiTheme="minorHAnsi" w:hAnsiTheme="minorHAnsi"/>
          <w:szCs w:val="22"/>
        </w:rPr>
      </w:pPr>
      <w:r w:rsidRPr="00EB5D83">
        <w:rPr>
          <w:rFonts w:asciiTheme="minorHAnsi" w:hAnsiTheme="minorHAnsi"/>
          <w:szCs w:val="22"/>
        </w:rPr>
        <w:t>Likeledes forventes det at enhver leverandør opptrer lojalt i henhold til tilsvarende forretningsetiske standard, og utviser åpenhet i forhold til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w:t>
      </w:r>
    </w:p>
    <w:p w14:paraId="1CE2CC40" w14:textId="32981D43" w:rsidR="009B755C" w:rsidRPr="00EE32F4" w:rsidRDefault="009B755C" w:rsidP="00D81679">
      <w:pPr>
        <w:pStyle w:val="Overskrift2"/>
      </w:pPr>
      <w:r w:rsidRPr="00EE32F4">
        <w:t xml:space="preserve">Varsomhet </w:t>
      </w:r>
    </w:p>
    <w:p w14:paraId="46505000" w14:textId="77777777" w:rsidR="00EB5D83" w:rsidRDefault="00EB5D83" w:rsidP="00EB5D83">
      <w:pPr>
        <w:pStyle w:val="Default"/>
        <w:rPr>
          <w:rFonts w:asciiTheme="minorHAnsi" w:hAnsiTheme="minorHAnsi"/>
          <w:szCs w:val="22"/>
        </w:rPr>
      </w:pPr>
      <w:r w:rsidRPr="00EB5D83">
        <w:rPr>
          <w:rFonts w:asciiTheme="minorHAnsi" w:hAnsiTheme="minorHAnsi"/>
          <w:szCs w:val="22"/>
        </w:rPr>
        <w:t>I anskaffelsesprosessen skal ikke leverandøren involvere tidligere ansatte i Forsvarsdepartementet eller forsvarssektoren, slik at tidligere ansatte i Forsvarsdepartementet eller forsvarssektoren settes i en posisjon der de kan komme i konflikt med avgitt taushetserklæring eller slik at habilitetskonflikter kan oppstå.</w:t>
      </w:r>
    </w:p>
    <w:p w14:paraId="113C294D" w14:textId="77777777" w:rsidR="00EB5D83" w:rsidRPr="00EB5D83" w:rsidRDefault="00EB5D83" w:rsidP="00EB5D83">
      <w:pPr>
        <w:pStyle w:val="Default"/>
        <w:rPr>
          <w:rFonts w:asciiTheme="minorHAnsi" w:hAnsiTheme="minorHAnsi"/>
          <w:szCs w:val="22"/>
        </w:rPr>
      </w:pPr>
    </w:p>
    <w:p w14:paraId="1219F754" w14:textId="77777777" w:rsidR="00EB5D83" w:rsidRDefault="00EB5D83" w:rsidP="00EB5D83">
      <w:pPr>
        <w:pStyle w:val="Default"/>
        <w:rPr>
          <w:rFonts w:asciiTheme="minorHAnsi" w:hAnsiTheme="minorHAnsi"/>
          <w:szCs w:val="22"/>
        </w:rPr>
      </w:pPr>
      <w:r w:rsidRPr="00EB5D83">
        <w:rPr>
          <w:rFonts w:asciiTheme="minorHAnsi" w:hAnsiTheme="minorHAnsi"/>
          <w:szCs w:val="22"/>
        </w:rPr>
        <w:t>Personell som har vært ansatt i Forsvarsdepartementet eller i forsvarssektoren de siste to år, skal som hovedsak ikke benyttes i direkte kontakt med forsvarssektoren i en anskaffelsesprosess. Unntak kan gjøres av Forsvarsdepartementet hvis forbudet mot slik kontakt framstår som helt urimelig.</w:t>
      </w:r>
    </w:p>
    <w:p w14:paraId="161C6036" w14:textId="77777777" w:rsidR="00EB5D83" w:rsidRPr="00EB5D83" w:rsidRDefault="00EB5D83" w:rsidP="00EB5D83">
      <w:pPr>
        <w:pStyle w:val="Default"/>
        <w:rPr>
          <w:rFonts w:asciiTheme="minorHAnsi" w:hAnsiTheme="minorHAnsi"/>
          <w:szCs w:val="22"/>
        </w:rPr>
      </w:pPr>
    </w:p>
    <w:p w14:paraId="113F05F8" w14:textId="09321781" w:rsidR="00EB5D83" w:rsidRPr="00EE32F4" w:rsidRDefault="00EB5D83" w:rsidP="00EB5D83">
      <w:pPr>
        <w:pStyle w:val="Default"/>
        <w:rPr>
          <w:rFonts w:asciiTheme="minorHAnsi" w:hAnsiTheme="minorHAnsi"/>
          <w:szCs w:val="22"/>
        </w:rPr>
      </w:pPr>
      <w:r w:rsidRPr="00EB5D83">
        <w:rPr>
          <w:rFonts w:asciiTheme="minorHAnsi" w:hAnsiTheme="minorHAnsi"/>
          <w:szCs w:val="22"/>
        </w:rPr>
        <w:t>Leverandøren bes informere oppdragsgiver om hvorvidt slik konflikt kan oppstå. Forsvarsdepartementet og forsvarssektoren betinger seg retten til å be om endring i leverandørens personell som har kontakt med oppdragsgiver.</w:t>
      </w:r>
    </w:p>
    <w:p w14:paraId="05BB4D51" w14:textId="455788E2" w:rsidR="009B755C" w:rsidRDefault="009B755C" w:rsidP="00D81679">
      <w:pPr>
        <w:pStyle w:val="Overskrift2"/>
      </w:pPr>
      <w:r w:rsidRPr="00EE32F4">
        <w:t xml:space="preserve">Taushetsplikt </w:t>
      </w:r>
    </w:p>
    <w:p w14:paraId="2B45BA26" w14:textId="17CA4C1D"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t xml:space="preserve">Enhver som utfører tjeneste eller arbeid for et forvaltningsorgan, plikter å hindre at andre får adgang eller kjennskap til opplysninger om tekniske innretninger og fremgangsmåter, samt drifts- og forretningsforhold, som det vil være av konkurransemessig betydning å hemmeligholde av hensyn til den som opplysningen angår, jf. forvaltningsloven § 13 første ledd, anskaffelsesforskriften § 7-4 og forskrift om forsvars- og sikkerhetsanskaffelser § 3-4. </w:t>
      </w:r>
    </w:p>
    <w:p w14:paraId="447B7692" w14:textId="77777777" w:rsidR="00EB5D83" w:rsidRPr="00EB5D83" w:rsidRDefault="00EB5D83" w:rsidP="00EB5D83">
      <w:pPr>
        <w:autoSpaceDE w:val="0"/>
        <w:autoSpaceDN w:val="0"/>
        <w:adjustRightInd w:val="0"/>
        <w:rPr>
          <w:rFonts w:eastAsiaTheme="minorHAnsi" w:cs="Calibri"/>
          <w:color w:val="000000"/>
          <w:szCs w:val="22"/>
          <w:lang w:val="nb-NO"/>
        </w:rPr>
      </w:pPr>
    </w:p>
    <w:p w14:paraId="6AA5F04E" w14:textId="2D030119" w:rsidR="00EB5D83" w:rsidRDefault="00EB5D83" w:rsidP="00EB5D83">
      <w:pPr>
        <w:rPr>
          <w:rFonts w:eastAsiaTheme="minorHAnsi" w:cs="Calibri"/>
          <w:color w:val="000000"/>
          <w:szCs w:val="22"/>
          <w:lang w:val="nb-NO"/>
        </w:rPr>
      </w:pPr>
      <w:r w:rsidRPr="00EB5D83">
        <w:rPr>
          <w:rFonts w:eastAsiaTheme="minorHAnsi" w:cs="Calibri"/>
          <w:color w:val="000000"/>
          <w:szCs w:val="22"/>
          <w:lang w:val="nb-NO"/>
        </w:rPr>
        <w:t>Enhver som får tilgang til sikkerhetsgradert informasjon som ledd i arbeidet eller tjenesten for en virksomhet, plikter å hindre at uvedkommende får kjennskap til informasjonen, jf. sikkerhetsloven § 5-4.</w:t>
      </w:r>
    </w:p>
    <w:p w14:paraId="3479A6F1" w14:textId="77777777" w:rsidR="00EB5D83" w:rsidRDefault="00EB5D83" w:rsidP="00EB5D83">
      <w:pPr>
        <w:rPr>
          <w:rFonts w:eastAsiaTheme="minorHAnsi" w:cs="Calibri"/>
          <w:color w:val="000000"/>
          <w:szCs w:val="22"/>
          <w:lang w:val="nb-NO"/>
        </w:rPr>
      </w:pPr>
    </w:p>
    <w:p w14:paraId="76BF4B33" w14:textId="150455D4" w:rsidR="00EB5D83" w:rsidRPr="00EB5D83" w:rsidRDefault="00EB5D83" w:rsidP="00EB5D83">
      <w:pPr>
        <w:rPr>
          <w:lang w:val="nb-NO"/>
        </w:rPr>
      </w:pPr>
      <w:r w:rsidRPr="00EB5D83">
        <w:rPr>
          <w:lang w:val="nb-NO"/>
        </w:rPr>
        <w:t>Taushetsplikten gjelder også etter at vedkommende har avsluttet tjenesten eller arbeidet og informasjonen kan ikke benyttes i egen virksomhet eller i tjeneste eller arbeid for andre, jf. forvaltningsloven § 13 tredje ledd og sikkerhetsloven § 5-4.</w:t>
      </w:r>
    </w:p>
    <w:p w14:paraId="14B7BE5A" w14:textId="59A3AA0B" w:rsidR="009B755C" w:rsidRPr="00EE32F4" w:rsidRDefault="009B755C" w:rsidP="00D81679">
      <w:pPr>
        <w:pStyle w:val="Overskrift2"/>
      </w:pPr>
      <w:r w:rsidRPr="00EE32F4">
        <w:t xml:space="preserve">Habilitet </w:t>
      </w:r>
    </w:p>
    <w:p w14:paraId="485F521E" w14:textId="7FEA86D9"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t>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i saken, jf. forvaltningsloven § 6 første ledd.</w:t>
      </w:r>
    </w:p>
    <w:p w14:paraId="4AEAEC11" w14:textId="77777777" w:rsidR="00EB5D83" w:rsidRPr="00EB5D83" w:rsidRDefault="00EB5D83" w:rsidP="00EB5D83">
      <w:pPr>
        <w:autoSpaceDE w:val="0"/>
        <w:autoSpaceDN w:val="0"/>
        <w:adjustRightInd w:val="0"/>
        <w:rPr>
          <w:rFonts w:eastAsiaTheme="minorHAnsi" w:cs="Calibri"/>
          <w:color w:val="000000"/>
          <w:szCs w:val="22"/>
          <w:lang w:val="nb-NO"/>
        </w:rPr>
      </w:pPr>
    </w:p>
    <w:p w14:paraId="0BDE24D7" w14:textId="77777777"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lastRenderedPageBreak/>
        <w:t xml:space="preserve">En offentlig tjenestemann er videre inhabil når andre særegne forhold foreligger som er egnet til å svekke tilliten til hans upartiskhet. Blant annet skal det legges vekt på om avgjørelsen i saken kan innebære særlig fordel, tap eller ulempe for ham selv eller noen som han har nær personlig tilknytning til, jf. forvaltningsloven § 6 andre ledd. </w:t>
      </w:r>
    </w:p>
    <w:p w14:paraId="10980332" w14:textId="77777777" w:rsidR="00EB5D83" w:rsidRPr="00EB5D83" w:rsidRDefault="00EB5D83" w:rsidP="00EB5D83">
      <w:pPr>
        <w:autoSpaceDE w:val="0"/>
        <w:autoSpaceDN w:val="0"/>
        <w:adjustRightInd w:val="0"/>
        <w:rPr>
          <w:rFonts w:eastAsiaTheme="minorHAnsi" w:cs="Calibri"/>
          <w:color w:val="000000"/>
          <w:szCs w:val="22"/>
          <w:lang w:val="nb-NO"/>
        </w:rPr>
      </w:pPr>
    </w:p>
    <w:p w14:paraId="7E6FC719" w14:textId="51102991" w:rsidR="009B755C" w:rsidRPr="009B755C" w:rsidRDefault="00EB5D83" w:rsidP="00B40EC2">
      <w:pPr>
        <w:pStyle w:val="Default"/>
      </w:pPr>
      <w:r w:rsidRPr="00EB5D83">
        <w:rPr>
          <w:color w:val="000000"/>
          <w:szCs w:val="22"/>
        </w:rPr>
        <w:t xml:space="preserve">Ved behandling av saker som omfattes av anskaffelsesforskriften og </w:t>
      </w:r>
      <w:r w:rsidR="00B40EC2">
        <w:rPr>
          <w:color w:val="000000"/>
          <w:szCs w:val="22"/>
        </w:rPr>
        <w:t>Retningslinjer for anskaffelser i forsvarssektoren</w:t>
      </w:r>
      <w:r w:rsidRPr="00EB5D83">
        <w:rPr>
          <w:color w:val="000000"/>
          <w:szCs w:val="22"/>
        </w:rPr>
        <w:t xml:space="preserve"> gjelder reglene om habilitet i forvaltningsloven § 6 til § 10. Der forvaltningsloven ikke direkte kommer til anvendelse, gjelder reglene i forvaltningsloven § 6 til § 10 tilsvarende, jf. anskaffelsesforskriften § 7-5 og forskrift om forsvars- og sikkerhetsanskaffelser § 3-15.</w:t>
      </w:r>
    </w:p>
    <w:sectPr w:rsidR="009B755C" w:rsidRPr="009B755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F8AC" w14:textId="77777777" w:rsidR="009B755C" w:rsidRDefault="009B755C" w:rsidP="009B755C">
      <w:r>
        <w:separator/>
      </w:r>
    </w:p>
  </w:endnote>
  <w:endnote w:type="continuationSeparator" w:id="0">
    <w:p w14:paraId="54D51F60" w14:textId="77777777" w:rsidR="009B755C" w:rsidRDefault="009B755C" w:rsidP="009B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5934" w14:textId="77777777" w:rsidR="009B755C" w:rsidRDefault="009B755C" w:rsidP="009B755C">
      <w:r>
        <w:separator/>
      </w:r>
    </w:p>
  </w:footnote>
  <w:footnote w:type="continuationSeparator" w:id="0">
    <w:p w14:paraId="436A69BF" w14:textId="77777777" w:rsidR="009B755C" w:rsidRDefault="009B755C" w:rsidP="009B755C">
      <w:r>
        <w:continuationSeparator/>
      </w:r>
    </w:p>
  </w:footnote>
  <w:footnote w:id="1">
    <w:p w14:paraId="2B932ABD" w14:textId="398A0B91" w:rsidR="00EB5D83" w:rsidRPr="00EB5D83" w:rsidRDefault="00EB5D83" w:rsidP="00EB5D83">
      <w:pPr>
        <w:pStyle w:val="Fotnotetekst"/>
        <w:rPr>
          <w:lang w:val="nb-NO"/>
        </w:rPr>
      </w:pPr>
      <w:r>
        <w:rPr>
          <w:rStyle w:val="Fotnotereferanse"/>
        </w:rPr>
        <w:footnoteRef/>
      </w:r>
      <w:r w:rsidRPr="00EB5D83">
        <w:rPr>
          <w:lang w:val="nb-NO"/>
        </w:rPr>
        <w:t xml:space="preserve"> Med forsvarssektoren menes Forsvarsdepartementet med underliggende etater.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BF988" w14:textId="77777777" w:rsidR="005C2197" w:rsidRPr="005C2197" w:rsidRDefault="005C2197" w:rsidP="005C2197">
    <w:pPr>
      <w:pStyle w:val="Topptekst"/>
    </w:pPr>
    <w:r w:rsidRPr="005C2197">
      <w:t xml:space="preserve">2026015517 – Anskaffelse av kurs i </w:t>
    </w:r>
    <w:proofErr w:type="spellStart"/>
    <w:r w:rsidRPr="005C2197">
      <w:t>Hostile</w:t>
    </w:r>
    <w:proofErr w:type="spellEnd"/>
    <w:r w:rsidRPr="005C2197">
      <w:t xml:space="preserve"> Environment </w:t>
    </w:r>
    <w:proofErr w:type="spellStart"/>
    <w:r w:rsidRPr="005C2197">
      <w:t>Awareness</w:t>
    </w:r>
    <w:proofErr w:type="spellEnd"/>
    <w:r w:rsidRPr="005C2197">
      <w:t xml:space="preserve"> Training (HEAT)</w:t>
    </w:r>
  </w:p>
  <w:p w14:paraId="4EB9E3AB" w14:textId="522A006F" w:rsidR="009B755C" w:rsidRPr="00786446" w:rsidRDefault="00B40C3F" w:rsidP="00786446">
    <w:pPr>
      <w:pStyle w:val="Topptekst"/>
    </w:pPr>
    <w:r>
      <w:t>DEL</w:t>
    </w:r>
    <w:r w:rsidR="009B755C" w:rsidRPr="00786446">
      <w:t xml:space="preserve"> </w:t>
    </w:r>
    <w:r w:rsidR="00B40EC2">
      <w:t>I</w:t>
    </w:r>
    <w:r w:rsidR="009B755C" w:rsidRPr="00786446">
      <w:t xml:space="preserve"> – Bilag 4</w:t>
    </w:r>
    <w:r w:rsidR="00B40EC2">
      <w:t xml:space="preserve"> –</w:t>
    </w:r>
    <w:r w:rsidR="009B755C" w:rsidRPr="00786446">
      <w:t xml:space="preserve"> Varsomhet, taushetsplikt og habilitet</w:t>
    </w:r>
    <w:r w:rsidR="00786446">
      <w:tab/>
    </w:r>
    <w:r w:rsidR="00786446" w:rsidRPr="00E15AF0">
      <w:t xml:space="preserve">Side </w:t>
    </w:r>
    <w:r w:rsidR="00786446" w:rsidRPr="00E15AF0">
      <w:fldChar w:fldCharType="begin"/>
    </w:r>
    <w:r w:rsidR="00786446" w:rsidRPr="00E15AF0">
      <w:instrText>PAGE  \* Arabic  \* MERGEFORMAT</w:instrText>
    </w:r>
    <w:r w:rsidR="00786446" w:rsidRPr="00E15AF0">
      <w:fldChar w:fldCharType="separate"/>
    </w:r>
    <w:r w:rsidR="00786446">
      <w:t>1</w:t>
    </w:r>
    <w:r w:rsidR="00786446" w:rsidRPr="00E15AF0">
      <w:fldChar w:fldCharType="end"/>
    </w:r>
    <w:r w:rsidR="00786446" w:rsidRPr="00E15AF0">
      <w:t xml:space="preserve"> av </w:t>
    </w:r>
    <w:r w:rsidR="008E64DB">
      <w:fldChar w:fldCharType="begin"/>
    </w:r>
    <w:r w:rsidR="008E64DB">
      <w:instrText>NUMPAGES  \* Arabic  \* MERGEFORMAT</w:instrText>
    </w:r>
    <w:r w:rsidR="008E64DB">
      <w:fldChar w:fldCharType="separate"/>
    </w:r>
    <w:r w:rsidR="00786446">
      <w:t>3</w:t>
    </w:r>
    <w:r w:rsidR="008E64D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37211B81"/>
    <w:multiLevelType w:val="hybridMultilevel"/>
    <w:tmpl w:val="F314FB46"/>
    <w:lvl w:ilvl="0" w:tplc="399A5C02">
      <w:start w:val="1"/>
      <w:numFmt w:val="decimal"/>
      <w:pStyle w:val="Overskrift2"/>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6011341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8735723">
    <w:abstractNumId w:val="0"/>
  </w:num>
  <w:num w:numId="3" w16cid:durableId="184832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737"/>
    <w:rsid w:val="00011819"/>
    <w:rsid w:val="00041305"/>
    <w:rsid w:val="00087FCE"/>
    <w:rsid w:val="000B1E59"/>
    <w:rsid w:val="000E0F00"/>
    <w:rsid w:val="001259D8"/>
    <w:rsid w:val="00134FD4"/>
    <w:rsid w:val="001C5B6A"/>
    <w:rsid w:val="00295E20"/>
    <w:rsid w:val="002E72D6"/>
    <w:rsid w:val="0032033A"/>
    <w:rsid w:val="003A0B27"/>
    <w:rsid w:val="004533E3"/>
    <w:rsid w:val="00554B11"/>
    <w:rsid w:val="005C2197"/>
    <w:rsid w:val="005F28BE"/>
    <w:rsid w:val="006502FE"/>
    <w:rsid w:val="006D61F2"/>
    <w:rsid w:val="006F7224"/>
    <w:rsid w:val="00731ED3"/>
    <w:rsid w:val="00750AD8"/>
    <w:rsid w:val="00786446"/>
    <w:rsid w:val="007D6E3B"/>
    <w:rsid w:val="007E0967"/>
    <w:rsid w:val="008D243D"/>
    <w:rsid w:val="008E64DB"/>
    <w:rsid w:val="009B755C"/>
    <w:rsid w:val="009C2168"/>
    <w:rsid w:val="009C2F35"/>
    <w:rsid w:val="00A008AD"/>
    <w:rsid w:val="00A273DD"/>
    <w:rsid w:val="00A6498F"/>
    <w:rsid w:val="00AC4851"/>
    <w:rsid w:val="00AD5B63"/>
    <w:rsid w:val="00AE1400"/>
    <w:rsid w:val="00B369D3"/>
    <w:rsid w:val="00B40C3F"/>
    <w:rsid w:val="00B40EC2"/>
    <w:rsid w:val="00B717D7"/>
    <w:rsid w:val="00BF6978"/>
    <w:rsid w:val="00CC2C0C"/>
    <w:rsid w:val="00D63D59"/>
    <w:rsid w:val="00D81679"/>
    <w:rsid w:val="00D81E98"/>
    <w:rsid w:val="00D92EDD"/>
    <w:rsid w:val="00DB3D01"/>
    <w:rsid w:val="00EB5D83"/>
    <w:rsid w:val="00EB7737"/>
    <w:rsid w:val="00EE32F4"/>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945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46"/>
    <w:pPr>
      <w:spacing w:after="0" w:line="240" w:lineRule="auto"/>
    </w:pPr>
    <w:rPr>
      <w:rFonts w:ascii="Calibri" w:eastAsia="Times New Roman" w:hAnsi="Calibri" w:cs="Times New Roman"/>
      <w:szCs w:val="20"/>
      <w:lang w:val="en-AU"/>
    </w:rPr>
  </w:style>
  <w:style w:type="paragraph" w:styleId="Overskrift1">
    <w:name w:val="heading 1"/>
    <w:basedOn w:val="Normal"/>
    <w:next w:val="Normal"/>
    <w:link w:val="Overskrift1Tegn"/>
    <w:uiPriority w:val="9"/>
    <w:qFormat/>
    <w:rsid w:val="00786446"/>
    <w:pPr>
      <w:keepNext/>
      <w:keepLines/>
      <w:spacing w:before="240"/>
      <w:outlineLvl w:val="0"/>
    </w:pPr>
    <w:rPr>
      <w:rFonts w:eastAsiaTheme="majorEastAsia" w:cstheme="majorBidi"/>
      <w:b/>
      <w:bCs/>
      <w:color w:val="17365D" w:themeColor="text2" w:themeShade="BF"/>
      <w:sz w:val="32"/>
      <w:szCs w:val="28"/>
    </w:rPr>
  </w:style>
  <w:style w:type="paragraph" w:styleId="Overskrift2">
    <w:name w:val="heading 2"/>
    <w:basedOn w:val="Normal"/>
    <w:next w:val="Normal"/>
    <w:link w:val="Overskrift2Tegn"/>
    <w:uiPriority w:val="9"/>
    <w:unhideWhenUsed/>
    <w:qFormat/>
    <w:rsid w:val="00D81679"/>
    <w:pPr>
      <w:keepNext/>
      <w:keepLines/>
      <w:numPr>
        <w:numId w:val="3"/>
      </w:numPr>
      <w:spacing w:before="240"/>
      <w:outlineLvl w:val="1"/>
    </w:pPr>
    <w:rPr>
      <w:rFonts w:eastAsiaTheme="majorEastAsia" w:cstheme="majorBidi"/>
      <w:b/>
      <w:bCs/>
      <w:color w:val="365F91" w:themeColor="accent1" w:themeShade="BF"/>
      <w:sz w:val="28"/>
      <w:szCs w:val="26"/>
      <w:lang w:val="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786446"/>
    <w:pPr>
      <w:pBdr>
        <w:bottom w:val="single" w:sz="4" w:space="1" w:color="auto"/>
      </w:pBdr>
      <w:tabs>
        <w:tab w:val="center" w:pos="4536"/>
        <w:tab w:val="right" w:pos="9072"/>
      </w:tabs>
      <w:spacing w:after="240"/>
      <w:contextualSpacing/>
    </w:pPr>
    <w:rPr>
      <w:rFonts w:asciiTheme="minorHAnsi" w:eastAsiaTheme="minorHAnsi" w:hAnsiTheme="minorHAnsi" w:cstheme="minorBidi"/>
      <w:szCs w:val="22"/>
      <w:lang w:val="nb-NO"/>
    </w:rPr>
  </w:style>
  <w:style w:type="character" w:customStyle="1" w:styleId="TopptekstTegn">
    <w:name w:val="Topptekst Tegn"/>
    <w:basedOn w:val="Standardskriftforavsnitt"/>
    <w:link w:val="Topptekst"/>
    <w:uiPriority w:val="99"/>
    <w:rsid w:val="00786446"/>
  </w:style>
  <w:style w:type="paragraph" w:styleId="Bunntekst">
    <w:name w:val="footer"/>
    <w:basedOn w:val="Normal"/>
    <w:link w:val="BunntekstTegn"/>
    <w:uiPriority w:val="99"/>
    <w:unhideWhenUsed/>
    <w:rsid w:val="009B755C"/>
    <w:pPr>
      <w:tabs>
        <w:tab w:val="center" w:pos="4536"/>
        <w:tab w:val="right" w:pos="9072"/>
      </w:tabs>
    </w:pPr>
    <w:rPr>
      <w:rFonts w:asciiTheme="minorHAnsi" w:eastAsiaTheme="minorHAnsi" w:hAnsiTheme="minorHAnsi" w:cstheme="minorBidi"/>
      <w:szCs w:val="22"/>
      <w:lang w:val="nb-NO"/>
    </w:rPr>
  </w:style>
  <w:style w:type="character" w:customStyle="1" w:styleId="BunntekstTegn">
    <w:name w:val="Bunntekst Tegn"/>
    <w:basedOn w:val="Standardskriftforavsnitt"/>
    <w:link w:val="Bunntekst"/>
    <w:uiPriority w:val="99"/>
    <w:rsid w:val="009B755C"/>
  </w:style>
  <w:style w:type="paragraph" w:customStyle="1" w:styleId="Avdelingstittel">
    <w:name w:val="Avdelingstittel"/>
    <w:basedOn w:val="Normal"/>
    <w:qFormat/>
    <w:rsid w:val="009B755C"/>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9B755C"/>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9B755C"/>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9B755C"/>
    <w:rPr>
      <w:rFonts w:ascii="Tahoma" w:hAnsi="Tahoma" w:cs="Tahoma"/>
      <w:sz w:val="16"/>
      <w:szCs w:val="16"/>
    </w:rPr>
  </w:style>
  <w:style w:type="paragraph" w:customStyle="1" w:styleId="Default">
    <w:name w:val="Default"/>
    <w:rsid w:val="00786446"/>
    <w:pPr>
      <w:autoSpaceDE w:val="0"/>
      <w:autoSpaceDN w:val="0"/>
      <w:adjustRightInd w:val="0"/>
      <w:spacing w:after="0" w:line="240" w:lineRule="auto"/>
    </w:pPr>
    <w:rPr>
      <w:rFonts w:ascii="Calibri" w:hAnsi="Calibri" w:cs="Calibri"/>
      <w:szCs w:val="24"/>
    </w:rPr>
  </w:style>
  <w:style w:type="paragraph" w:styleId="Fotnotetekst">
    <w:name w:val="footnote text"/>
    <w:basedOn w:val="Normal"/>
    <w:link w:val="FotnotetekstTegn"/>
    <w:uiPriority w:val="99"/>
    <w:semiHidden/>
    <w:unhideWhenUsed/>
    <w:rsid w:val="009B755C"/>
  </w:style>
  <w:style w:type="character" w:customStyle="1" w:styleId="FotnotetekstTegn">
    <w:name w:val="Fotnotetekst Tegn"/>
    <w:basedOn w:val="Standardskriftforavsnitt"/>
    <w:link w:val="Fotnotetekst"/>
    <w:uiPriority w:val="99"/>
    <w:semiHidden/>
    <w:rsid w:val="009B755C"/>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9B755C"/>
    <w:rPr>
      <w:vertAlign w:val="superscript"/>
    </w:rPr>
  </w:style>
  <w:style w:type="character" w:customStyle="1" w:styleId="Overskrift1Tegn">
    <w:name w:val="Overskrift 1 Tegn"/>
    <w:basedOn w:val="Standardskriftforavsnitt"/>
    <w:link w:val="Overskrift1"/>
    <w:uiPriority w:val="9"/>
    <w:rsid w:val="00786446"/>
    <w:rPr>
      <w:rFonts w:ascii="Calibri" w:eastAsiaTheme="majorEastAsia" w:hAnsi="Calibri" w:cstheme="majorBidi"/>
      <w:b/>
      <w:bCs/>
      <w:color w:val="17365D" w:themeColor="text2" w:themeShade="BF"/>
      <w:sz w:val="32"/>
      <w:szCs w:val="28"/>
      <w:lang w:val="en-AU"/>
    </w:rPr>
  </w:style>
  <w:style w:type="character" w:customStyle="1" w:styleId="Overskrift2Tegn">
    <w:name w:val="Overskrift 2 Tegn"/>
    <w:basedOn w:val="Standardskriftforavsnitt"/>
    <w:link w:val="Overskrift2"/>
    <w:uiPriority w:val="9"/>
    <w:rsid w:val="00D81679"/>
    <w:rPr>
      <w:rFonts w:ascii="Calibri" w:eastAsiaTheme="majorEastAsia" w:hAnsi="Calibri" w:cstheme="majorBidi"/>
      <w:b/>
      <w:bCs/>
      <w:color w:val="365F91" w:themeColor="accent1" w:themeShade="BF"/>
      <w:sz w:val="28"/>
      <w:szCs w:val="26"/>
    </w:rPr>
  </w:style>
  <w:style w:type="table" w:customStyle="1" w:styleId="Tabellrutenett2">
    <w:name w:val="Tabellrutenett2"/>
    <w:basedOn w:val="Vanligtabell"/>
    <w:next w:val="Tabellrutenett"/>
    <w:uiPriority w:val="59"/>
    <w:rsid w:val="0032033A"/>
    <w:rPr>
      <w:rFonts w:eastAsiaTheme="minorEastAsia"/>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786446"/>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86446"/>
    <w:rPr>
      <w:rFonts w:asciiTheme="majorHAnsi" w:eastAsiaTheme="majorEastAsia" w:hAnsiTheme="majorHAnsi" w:cstheme="majorBidi"/>
      <w:spacing w:val="-10"/>
      <w:kern w:val="28"/>
      <w:sz w:val="56"/>
      <w:szCs w:val="5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60545">
      <w:bodyDiv w:val="1"/>
      <w:marLeft w:val="0"/>
      <w:marRight w:val="0"/>
      <w:marTop w:val="0"/>
      <w:marBottom w:val="0"/>
      <w:divBdr>
        <w:top w:val="none" w:sz="0" w:space="0" w:color="auto"/>
        <w:left w:val="none" w:sz="0" w:space="0" w:color="auto"/>
        <w:bottom w:val="none" w:sz="0" w:space="0" w:color="auto"/>
        <w:right w:val="none" w:sz="0" w:space="0" w:color="auto"/>
      </w:divBdr>
    </w:div>
    <w:div w:id="234822114">
      <w:bodyDiv w:val="1"/>
      <w:marLeft w:val="0"/>
      <w:marRight w:val="0"/>
      <w:marTop w:val="0"/>
      <w:marBottom w:val="0"/>
      <w:divBdr>
        <w:top w:val="none" w:sz="0" w:space="0" w:color="auto"/>
        <w:left w:val="none" w:sz="0" w:space="0" w:color="auto"/>
        <w:bottom w:val="none" w:sz="0" w:space="0" w:color="auto"/>
        <w:right w:val="none" w:sz="0" w:space="0" w:color="auto"/>
      </w:divBdr>
    </w:div>
    <w:div w:id="523710929">
      <w:bodyDiv w:val="1"/>
      <w:marLeft w:val="0"/>
      <w:marRight w:val="0"/>
      <w:marTop w:val="0"/>
      <w:marBottom w:val="0"/>
      <w:divBdr>
        <w:top w:val="none" w:sz="0" w:space="0" w:color="auto"/>
        <w:left w:val="none" w:sz="0" w:space="0" w:color="auto"/>
        <w:bottom w:val="none" w:sz="0" w:space="0" w:color="auto"/>
        <w:right w:val="none" w:sz="0" w:space="0" w:color="auto"/>
      </w:divBdr>
    </w:div>
    <w:div w:id="91358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3021</Characters>
  <Application>Microsoft Office Word</Application>
  <DocSecurity>0</DocSecurity>
  <Lines>25</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2026-07-10T12:24:00Z</dcterms:created>
  <dcterms:modified xsi:type="dcterms:W3CDTF">2026-07-10T12:24:00Z</dcterms:modified>
</cp:coreProperties>
</file>